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5004" w14:textId="77777777" w:rsidR="00661CB5" w:rsidRDefault="00661CB5" w:rsidP="00661CB5">
      <w:pPr>
        <w:pStyle w:val="NormalWeb"/>
        <w:spacing w:before="0" w:beforeAutospacing="0" w:after="0" w:afterAutospacing="0" w:line="432" w:lineRule="atLeast"/>
        <w:rPr>
          <w:rFonts w:ascii="Arial" w:hAnsi="Arial" w:cs="Arial"/>
          <w:color w:val="000000"/>
          <w:sz w:val="24"/>
          <w:szCs w:val="24"/>
        </w:rPr>
      </w:pPr>
      <w:r>
        <w:rPr>
          <w:rFonts w:ascii="Arial" w:hAnsi="Arial" w:cs="Arial"/>
          <w:color w:val="000000"/>
          <w:sz w:val="24"/>
          <w:szCs w:val="24"/>
        </w:rPr>
        <w:t>Clint Wallace teaches tax law at USC Law, including Income Tax, Corporate Tax, Taxation of Property Transactions, and Tax Policy.  He has written on various tax policy topics, including tax administration and the design of tax expenditures.</w:t>
      </w:r>
      <w:r>
        <w:rPr>
          <w:rStyle w:val="apple-converted-space"/>
          <w:rFonts w:ascii="Arial" w:hAnsi="Arial" w:cs="Arial"/>
          <w:color w:val="000000"/>
          <w:sz w:val="24"/>
          <w:szCs w:val="24"/>
        </w:rPr>
        <w:t> </w:t>
      </w:r>
      <w:r>
        <w:rPr>
          <w:rFonts w:ascii="Arial" w:hAnsi="Arial" w:cs="Arial"/>
          <w:color w:val="000000"/>
          <w:sz w:val="24"/>
          <w:szCs w:val="24"/>
        </w:rPr>
        <w:t>He is a co-author of the Third Edition of</w:t>
      </w:r>
      <w:r>
        <w:rPr>
          <w:rStyle w:val="apple-converted-space"/>
          <w:rFonts w:ascii="Arial" w:hAnsi="Arial" w:cs="Arial"/>
          <w:color w:val="000000"/>
          <w:sz w:val="24"/>
          <w:szCs w:val="24"/>
        </w:rPr>
        <w:t> </w:t>
      </w:r>
      <w:r>
        <w:rPr>
          <w:rStyle w:val="Emphasis"/>
          <w:rFonts w:ascii="Arial" w:hAnsi="Arial" w:cs="Arial"/>
          <w:color w:val="000000"/>
          <w:sz w:val="24"/>
          <w:szCs w:val="24"/>
        </w:rPr>
        <w:t>The Individual Tax Base</w:t>
      </w:r>
      <w:r>
        <w:rPr>
          <w:rFonts w:ascii="Arial" w:hAnsi="Arial" w:cs="Arial"/>
          <w:color w:val="000000"/>
          <w:sz w:val="24"/>
          <w:szCs w:val="24"/>
        </w:rPr>
        <w:t xml:space="preserve">, a leading income tax casebook published by West Academic. In 2019, he was selected by students at University of South Carolina School of Law as Best Classroom Professor. Before joining the faculty in 2017, he taught tax procedure, corporate tax, and tax policy at New York University School of Law as </w:t>
      </w:r>
      <w:proofErr w:type="gramStart"/>
      <w:r>
        <w:rPr>
          <w:rFonts w:ascii="Arial" w:hAnsi="Arial" w:cs="Arial"/>
          <w:color w:val="000000"/>
          <w:sz w:val="24"/>
          <w:szCs w:val="24"/>
        </w:rPr>
        <w:t>an</w:t>
      </w:r>
      <w:proofErr w:type="gramEnd"/>
      <w:r>
        <w:rPr>
          <w:rFonts w:ascii="Arial" w:hAnsi="Arial" w:cs="Arial"/>
          <w:color w:val="000000"/>
          <w:sz w:val="24"/>
          <w:szCs w:val="24"/>
        </w:rPr>
        <w:t xml:space="preserve"> Visiting Assistant Professor of Tax Law, and he worked as an associate at the law firm Caplin &amp; Drysdale. He received a LLM in taxation and a JD from New York University School of Law, and an AB from Princeton University’s School of Public and International Affairs.</w:t>
      </w:r>
    </w:p>
    <w:p w14:paraId="793ABF13" w14:textId="77777777" w:rsidR="00352CE8" w:rsidRPr="00661CB5" w:rsidRDefault="00352CE8" w:rsidP="00661CB5"/>
    <w:sectPr w:rsidR="00352CE8" w:rsidRPr="00661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B5"/>
    <w:rsid w:val="00352CE8"/>
    <w:rsid w:val="0066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E085"/>
  <w15:chartTrackingRefBased/>
  <w15:docId w15:val="{29885822-382A-4689-B6AB-D996CC62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1CB5"/>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661CB5"/>
  </w:style>
  <w:style w:type="character" w:styleId="Emphasis">
    <w:name w:val="Emphasis"/>
    <w:basedOn w:val="DefaultParagraphFont"/>
    <w:uiPriority w:val="20"/>
    <w:qFormat/>
    <w:rsid w:val="00661C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alipacewic pacewicconsulting.com</dc:creator>
  <cp:keywords/>
  <dc:description/>
  <cp:lastModifiedBy>alipacewic pacewicconsulting.com</cp:lastModifiedBy>
  <cp:revision>1</cp:revision>
  <dcterms:created xsi:type="dcterms:W3CDTF">2023-08-31T17:37:00Z</dcterms:created>
  <dcterms:modified xsi:type="dcterms:W3CDTF">2023-08-31T17:38:00Z</dcterms:modified>
</cp:coreProperties>
</file>